
<file path=[Content_Types].xml><?xml version="1.0" encoding="utf-8"?>
<Types xmlns="http://schemas.openxmlformats.org/package/2006/content-types">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caps/>
          <w:color w:val="0095D5" w:themeColor="accent1"/>
          <w14:textFill>
            <w14:solidFill>
              <w14:schemeClr w14:val="accent1"/>
            </w14:solidFill>
          </w14:textFill>
        </w:rPr>
      </w:pPr>
      <w:r>
        <w:rPr>
          <w:rFonts w:hint="eastAsia"/>
        </w:rPr>
        <w:drawing>
          <wp:inline distT="0" distB="0" distL="0" distR="0">
            <wp:extent cx="49911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t="10687"/>
                    <a:stretch>
                      <a:fillRect/>
                    </a:stretch>
                  </pic:blipFill>
                  <pic:spPr>
                    <a:xfrm>
                      <a:off x="0" y="0"/>
                      <a:ext cx="4991100" cy="3343275"/>
                    </a:xfrm>
                    <a:prstGeom prst="rect">
                      <a:avLst/>
                    </a:prstGeom>
                    <a:noFill/>
                    <a:ln>
                      <a:noFill/>
                    </a:ln>
                  </pic:spPr>
                </pic:pic>
              </a:graphicData>
            </a:graphic>
          </wp:inline>
        </w:drawing>
      </w:r>
    </w:p>
    <w:p>
      <w:pPr>
        <w:rPr>
          <w:b/>
          <w:bCs/>
          <w:caps/>
          <w:color w:val="0095D5" w:themeColor="accent1"/>
          <w14:textFill>
            <w14:solidFill>
              <w14:schemeClr w14:val="accent1"/>
            </w14:solidFill>
          </w14:textFill>
        </w:rPr>
      </w:pPr>
      <w:r>
        <w:rPr>
          <w:rFonts w:hint="eastAsia"/>
          <w:b/>
          <w:bCs/>
          <w:caps/>
          <w:color w:val="0095D5" w:themeColor="accent1"/>
          <w14:textFill>
            <w14:solidFill>
              <w14:schemeClr w14:val="accent1"/>
            </w14:solidFill>
          </w14:textFill>
        </w:rPr>
        <w:t>森海塞尔TCC 2为印度KIIT带来革新性混合学习体验</w:t>
      </w:r>
    </w:p>
    <w:p>
      <w:pPr>
        <w:rPr>
          <w:rFonts w:hint="eastAsia"/>
          <w:b/>
        </w:rPr>
      </w:pPr>
    </w:p>
    <w:p>
      <w:pPr>
        <w:rPr>
          <w:b/>
        </w:rPr>
      </w:pPr>
      <w:r>
        <w:rPr>
          <w:rFonts w:hint="eastAsia"/>
          <w:b/>
        </w:rPr>
        <w:t>150台TCC 2助力KIIT 布巴内斯瓦尔校园打造智慧校园</w:t>
      </w:r>
    </w:p>
    <w:p>
      <w:pPr>
        <w:rPr>
          <w:b/>
          <w:i/>
        </w:rPr>
      </w:pPr>
    </w:p>
    <w:p>
      <w:pPr>
        <w:rPr>
          <w:b/>
        </w:rPr>
      </w:pPr>
      <w:r>
        <w:rPr>
          <w:rFonts w:hint="eastAsia"/>
          <w:b/>
        </w:rPr>
        <w:t>卡林加工业技术学院（</w:t>
      </w:r>
      <w:r>
        <w:rPr>
          <w:b/>
        </w:rPr>
        <w:t xml:space="preserve">Kalinga Institute of Industrial Technology – </w:t>
      </w:r>
      <w:r>
        <w:rPr>
          <w:rFonts w:hint="eastAsia"/>
          <w:b/>
        </w:rPr>
        <w:t>KIIT）位于印度布巴内斯瓦尔（</w:t>
      </w:r>
      <w:r>
        <w:rPr>
          <w:b/>
        </w:rPr>
        <w:t>Bhubaneswar</w:t>
      </w:r>
      <w:r>
        <w:rPr>
          <w:rFonts w:hint="eastAsia"/>
          <w:b/>
        </w:rPr>
        <w:t>），是一所备受认可的知名学府。KIIT选择森海塞尔TCC 2天花阵列麦克风，以提升其校园内的学习体验。</w:t>
      </w:r>
    </w:p>
    <w:p>
      <w:pPr>
        <w:rPr>
          <w:b/>
        </w:rPr>
      </w:pPr>
    </w:p>
    <w:p>
      <w:pPr>
        <w:rPr>
          <w:szCs w:val="18"/>
        </w:rPr>
      </w:pPr>
      <w:bookmarkStart w:id="0" w:name="_GoBack"/>
      <w:bookmarkEnd w:id="0"/>
      <w:r>
        <w:rPr>
          <w:rFonts w:hint="eastAsia"/>
        </w:rPr>
        <w:t xml:space="preserve">KIIT拥有25个绿意盎然的校园，共占地25平方公里，配备了世界一流的基础设施和配套设备以支持其在多种学科领域开展优质教育和研究的使命。受全球疫情影响，和世界各地的许多教育机构一样，KIIT也面临着必须适应混合学习模式的挑战。大量学生改为远程上课，因此KIIT想找到一种可无缝衔接、免接触的解决方案，不仅能够降低卫生风险，也可以同时满足线下和线上学生的需要。 </w:t>
      </w:r>
    </w:p>
    <w:p/>
    <w:p>
      <w:pPr>
        <w:rPr>
          <w:szCs w:val="18"/>
        </w:rPr>
      </w:pPr>
      <w:r>
        <w:rPr>
          <w:rFonts w:hint="eastAsia"/>
        </w:rPr>
        <w:t>KIIT与该项目的首席集成商Sustainable Outreach and University Leadership Limited (SOUL)</w:t>
      </w:r>
      <w:r>
        <w:t xml:space="preserve"> </w:t>
      </w:r>
      <w:r>
        <w:rPr>
          <w:rFonts w:hint="eastAsia"/>
        </w:rPr>
        <w:t>密切合作，选定了森海塞尔TCC 2天花阵列麦克风作为解决方案，并部署了150台TCC 2，以打造契合自身需求的灵活混合学习体验。</w:t>
      </w:r>
    </w:p>
    <w:p>
      <w:pPr>
        <w:rPr>
          <w:szCs w:val="18"/>
        </w:rPr>
      </w:pPr>
    </w:p>
    <w:p>
      <w:pPr>
        <w:jc w:val="center"/>
        <w:rPr>
          <w:szCs w:val="18"/>
        </w:rPr>
      </w:pPr>
      <w:r>
        <w:rPr>
          <w:rFonts w:hint="eastAsia"/>
        </w:rPr>
        <w:drawing>
          <wp:inline distT="0" distB="0" distL="0" distR="0">
            <wp:extent cx="386715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22519"/>
                    <a:stretch>
                      <a:fillRect/>
                    </a:stretch>
                  </pic:blipFill>
                  <pic:spPr>
                    <a:xfrm>
                      <a:off x="0" y="0"/>
                      <a:ext cx="3867150" cy="3743325"/>
                    </a:xfrm>
                    <a:prstGeom prst="rect">
                      <a:avLst/>
                    </a:prstGeom>
                    <a:noFill/>
                    <a:ln>
                      <a:noFill/>
                    </a:ln>
                  </pic:spPr>
                </pic:pic>
              </a:graphicData>
            </a:graphic>
          </wp:inline>
        </w:drawing>
      </w:r>
    </w:p>
    <w:p>
      <w:pPr>
        <w:jc w:val="center"/>
        <w:rPr>
          <w:i/>
          <w:iCs/>
          <w:szCs w:val="18"/>
        </w:rPr>
      </w:pPr>
      <w:r>
        <w:rPr>
          <w:rFonts w:hint="eastAsia"/>
          <w:i/>
        </w:rPr>
        <w:t>KIIT安装了150台森海塞尔TCC 2以提升混合学习体验</w:t>
      </w:r>
    </w:p>
    <w:p>
      <w:pPr>
        <w:jc w:val="center"/>
        <w:rPr>
          <w:szCs w:val="18"/>
        </w:rPr>
      </w:pPr>
    </w:p>
    <w:p>
      <w:pPr>
        <w:rPr>
          <w:b/>
          <w:bCs/>
          <w:szCs w:val="18"/>
        </w:rPr>
      </w:pPr>
      <w:r>
        <w:rPr>
          <w:rFonts w:hint="eastAsia"/>
          <w:b/>
        </w:rPr>
        <w:t xml:space="preserve">适合不同空间的定制化音频解决方案 </w:t>
      </w:r>
    </w:p>
    <w:p>
      <w:pPr>
        <w:rPr>
          <w:szCs w:val="18"/>
        </w:rPr>
      </w:pPr>
      <w:r>
        <w:rPr>
          <w:rFonts w:hint="eastAsia"/>
        </w:rPr>
        <w:t xml:space="preserve">这些要求看似简单，但安装时却面临着一系列挑战。KIIT共有150间教室，根据座位安排和房间布局的不同，每一间教室都需要特定的音频调节和设置。 </w:t>
      </w:r>
    </w:p>
    <w:p>
      <w:pPr>
        <w:rPr>
          <w:szCs w:val="18"/>
        </w:rPr>
      </w:pPr>
    </w:p>
    <w:p>
      <w:pPr>
        <w:rPr>
          <w:szCs w:val="18"/>
        </w:rPr>
      </w:pPr>
      <w:r>
        <w:rPr>
          <w:rFonts w:hint="eastAsia"/>
        </w:rPr>
        <w:t xml:space="preserve">在此过程中，森海塞尔团队与SOUL的工程师团队发挥了关键作用，确保了项目的圆满成功，KIIT的所有需求均得到满足。团队在规定时间内顺利完成了安装，呈现的结果令KIIT非常满意。 </w:t>
      </w:r>
    </w:p>
    <w:p>
      <w:pPr>
        <w:rPr>
          <w:szCs w:val="18"/>
        </w:rPr>
      </w:pPr>
    </w:p>
    <w:p>
      <w:pPr>
        <w:rPr>
          <w:szCs w:val="18"/>
        </w:rPr>
      </w:pPr>
      <w:r>
        <w:rPr>
          <w:rFonts w:hint="eastAsia"/>
        </w:rPr>
        <w:t>KIIT副校长Sasmita Samanta表示：“我们非常感谢森海塞尔团队和SOUL提供的服务和指导。他们了解并满足了我们的需求。不论身在教室还是远程加入，我们的教师和学生现在都可以心无旁骛地专注于授课和学习。”</w:t>
      </w:r>
    </w:p>
    <w:p>
      <w:pPr>
        <w:rPr>
          <w:rFonts w:ascii="Sennheiser Office" w:hAnsi="Sennheiser Office"/>
          <w:szCs w:val="18"/>
        </w:rPr>
      </w:pPr>
    </w:p>
    <w:p>
      <w:pPr>
        <w:jc w:val="center"/>
        <w:rPr>
          <w:szCs w:val="18"/>
        </w:rPr>
      </w:pPr>
      <w:r>
        <w:rPr>
          <w:rFonts w:hint="eastAsia" w:ascii="Sennheiser Office" w:hAnsi="Sennheiser Office" w:eastAsia="宋体"/>
        </w:rPr>
        <w:drawing>
          <wp:inline distT="0" distB="0" distL="0" distR="0">
            <wp:extent cx="4991100" cy="3743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91100" cy="3743325"/>
                    </a:xfrm>
                    <a:prstGeom prst="rect">
                      <a:avLst/>
                    </a:prstGeom>
                    <a:noFill/>
                    <a:ln>
                      <a:noFill/>
                    </a:ln>
                  </pic:spPr>
                </pic:pic>
              </a:graphicData>
            </a:graphic>
          </wp:inline>
        </w:drawing>
      </w:r>
    </w:p>
    <w:p>
      <w:pPr>
        <w:jc w:val="center"/>
        <w:rPr>
          <w:i/>
          <w:iCs/>
          <w:szCs w:val="18"/>
        </w:rPr>
      </w:pPr>
      <w:r>
        <w:rPr>
          <w:rFonts w:hint="eastAsia"/>
          <w:i/>
        </w:rPr>
        <w:t>TCC 2的安装顺利完成，呈现的结果让KIIT团队备感满意</w:t>
      </w:r>
    </w:p>
    <w:p>
      <w:pPr>
        <w:rPr>
          <w:szCs w:val="18"/>
        </w:rPr>
      </w:pPr>
    </w:p>
    <w:p>
      <w:pPr>
        <w:rPr>
          <w:szCs w:val="18"/>
        </w:rPr>
      </w:pPr>
      <w:r>
        <w:rPr>
          <w:rFonts w:hint="eastAsia"/>
        </w:rPr>
        <w:t xml:space="preserve"> “音频的清晰度非常高，我们收到了来自学生的反馈，在远程上课时，他们感觉就像身在教室中一样！森海塞尔TCC 2的TruVoicelift原声增强功能和语音清晰度确实带来了变革性的改变。” KIIT计算机工程学院副教授Pradeep Kumar Mallick表示。</w:t>
      </w:r>
    </w:p>
    <w:p>
      <w:pPr>
        <w:rPr>
          <w:szCs w:val="18"/>
        </w:rPr>
      </w:pPr>
    </w:p>
    <w:p>
      <w:pPr>
        <w:rPr>
          <w:b/>
          <w:bCs/>
          <w:szCs w:val="18"/>
        </w:rPr>
      </w:pPr>
      <w:r>
        <w:rPr>
          <w:rFonts w:hint="eastAsia"/>
          <w:b/>
        </w:rPr>
        <w:t>KIIT智慧校园转型</w:t>
      </w:r>
    </w:p>
    <w:p>
      <w:pPr>
        <w:rPr>
          <w:bCs/>
          <w:szCs w:val="18"/>
        </w:rPr>
      </w:pPr>
      <w:r>
        <w:rPr>
          <w:rFonts w:hint="eastAsia"/>
        </w:rPr>
        <w:t xml:space="preserve">KIIT创立于1992年，从一所工业培训学院发展成为如今这所蓬勃发展的世界一流大学，提供涵盖众多学科领域的本科、研究生和博士课程。  </w:t>
      </w:r>
    </w:p>
    <w:p>
      <w:pPr>
        <w:rPr>
          <w:b/>
          <w:bCs/>
          <w:szCs w:val="18"/>
        </w:rPr>
      </w:pPr>
    </w:p>
    <w:p>
      <w:pPr>
        <w:rPr>
          <w:szCs w:val="18"/>
        </w:rPr>
      </w:pPr>
      <w:r>
        <w:rPr>
          <w:rFonts w:hint="eastAsia"/>
        </w:rPr>
        <w:t xml:space="preserve">自2020年起，KIIT开启了转型之旅，与众多行业领先品牌合作打造智慧校园。KIIT副校长Sasmita Samanta表示：“在校园中安装森海塞尔产品显著提升了我们的教学质量。” </w:t>
      </w:r>
    </w:p>
    <w:p>
      <w:pPr>
        <w:rPr>
          <w:szCs w:val="18"/>
        </w:rPr>
      </w:pPr>
    </w:p>
    <w:p>
      <w:pPr>
        <w:rPr>
          <w:szCs w:val="18"/>
        </w:rPr>
      </w:pPr>
      <w:r>
        <w:rPr>
          <w:rFonts w:hint="eastAsia"/>
        </w:rPr>
        <w:t>森海塞尔印度商务通讯销售总监Naveen Sridhara补充说：“我很激动能够见证森海塞尔TCC 2在KIIT智慧校园转型中发挥的作用。森海塞尔致力于打造音频之未来，创造能够更好地为最终用户服务的音频解决方案。”</w:t>
      </w:r>
    </w:p>
    <w:p>
      <w:pPr>
        <w:rPr>
          <w:szCs w:val="18"/>
          <w:lang w:val="en-US"/>
        </w:rPr>
      </w:pPr>
    </w:p>
    <w:p>
      <w:pPr>
        <w:spacing w:line="240" w:lineRule="auto"/>
        <w:rPr>
          <w:b/>
          <w:bCs/>
        </w:rPr>
      </w:pPr>
      <w:r>
        <w:rPr>
          <w:b/>
          <w:bCs/>
        </w:rPr>
        <w:br w:type="page"/>
      </w:r>
    </w:p>
    <w:p>
      <w:pPr>
        <w:rPr>
          <w:b/>
          <w:bCs/>
        </w:rPr>
      </w:pPr>
      <w:r>
        <w:rPr>
          <w:rFonts w:hint="eastAsia"/>
          <w:b/>
          <w:bCs/>
        </w:rPr>
        <w:t>关于森海塞尔品牌</w:t>
      </w:r>
    </w:p>
    <w:p>
      <w:r>
        <w:rPr>
          <w:rFonts w:hint="eastAsia"/>
        </w:rPr>
        <w:t xml:space="preserve">音频是我们的生命之源。我们致力于创造与众不同的音频解决方案。打造音频之未来并为我们的客户提供非凡的声音体验——这就是森海塞尔品牌近80年来所传承的精神。专业话筒及监听系统、会议系统、流媒体技术和无线传输系统等专业音频解决方案，这些业务隶属于森海塞尔（Sennheiser electronic GmbH &amp; Co. KG）；而消费电子产品业务包括耳机、条形音箱和语音增强耳机等在森海塞尔的授权下由索诺瓦控股集团（Sonova Holding AG）运营。 </w:t>
      </w:r>
    </w:p>
    <w:p>
      <w:pPr>
        <w:rPr>
          <w:b/>
          <w:bCs/>
        </w:rPr>
      </w:pPr>
    </w:p>
    <w:p>
      <w:r>
        <w:fldChar w:fldCharType="begin"/>
      </w:r>
      <w:r>
        <w:instrText xml:space="preserve"> HYPERLINK "http://www.sennheiser.com" </w:instrText>
      </w:r>
      <w:r>
        <w:fldChar w:fldCharType="separate"/>
      </w:r>
      <w:r>
        <w:rPr>
          <w:rStyle w:val="16"/>
        </w:rPr>
        <w:t>www.sennheiser.com</w:t>
      </w:r>
      <w:r>
        <w:rPr>
          <w:rStyle w:val="16"/>
        </w:rPr>
        <w:fldChar w:fldCharType="end"/>
      </w:r>
    </w:p>
    <w:p>
      <w:r>
        <w:fldChar w:fldCharType="begin"/>
      </w:r>
      <w:r>
        <w:instrText xml:space="preserve"> HYPERLINK "http://www.sennheiser-hearing.com" </w:instrText>
      </w:r>
      <w:r>
        <w:fldChar w:fldCharType="separate"/>
      </w:r>
      <w:r>
        <w:rPr>
          <w:rStyle w:val="16"/>
          <w:rFonts w:hint="eastAsia"/>
        </w:rPr>
        <w:t>www.sennheiser-hearing.com</w:t>
      </w:r>
      <w:r>
        <w:rPr>
          <w:rStyle w:val="16"/>
          <w:rFonts w:hint="eastAsia"/>
        </w:rPr>
        <w:fldChar w:fldCharType="end"/>
      </w:r>
    </w:p>
    <w:p>
      <w:pPr>
        <w:rPr>
          <w:b/>
          <w:bCs/>
        </w:rPr>
      </w:pPr>
    </w:p>
    <w:p>
      <w:pPr>
        <w:rPr>
          <w:b/>
          <w:bCs/>
        </w:rPr>
      </w:pPr>
      <w:r>
        <w:rPr>
          <w:rFonts w:hint="eastAsia"/>
          <w:b/>
          <w:bCs/>
        </w:rPr>
        <w:t>大中华区新闻联络人</w:t>
      </w:r>
    </w:p>
    <w:p>
      <w:pPr>
        <w:rPr>
          <w:lang w:val="en-US"/>
        </w:rPr>
      </w:pPr>
      <w:r>
        <w:rPr>
          <w:rFonts w:hint="eastAsia"/>
        </w:rPr>
        <w:t>顾彦多</w:t>
      </w:r>
      <w:r>
        <w:rPr>
          <w:rFonts w:hint="eastAsia"/>
          <w:lang w:val="en-US"/>
        </w:rPr>
        <w:t xml:space="preserve"> Ivy</w:t>
      </w:r>
    </w:p>
    <w:p>
      <w:r>
        <w:rPr>
          <w:rFonts w:hint="eastAsia"/>
        </w:rPr>
        <w:t>ivy.gu@sennheiser.com</w:t>
      </w:r>
    </w:p>
    <w:p>
      <w:r>
        <w:rPr>
          <w:rFonts w:hint="eastAsia"/>
        </w:rPr>
        <w:t>+86-13810674317</w:t>
      </w:r>
    </w:p>
    <w:sectPr>
      <w:headerReference r:id="rId6" w:type="first"/>
      <w:footerReference r:id="rId7" w:type="first"/>
      <w:headerReference r:id="rId5" w:type="default"/>
      <w:pgSz w:w="11906" w:h="16838"/>
      <w:pgMar w:top="2754" w:right="2608" w:bottom="1418" w:left="1418" w:header="629" w:footer="482"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45859D-145D-4239-93A4-0927AE0CC6B9}"/>
  </w:font>
  <w:font w:name="Arial">
    <w:panose1 w:val="020B0604020202020204"/>
    <w:charset w:val="01"/>
    <w:family w:val="swiss"/>
    <w:pitch w:val="default"/>
    <w:sig w:usb0="E0002AFF" w:usb1="C0007843" w:usb2="00000009" w:usb3="00000000" w:csb0="400001FF" w:csb1="FFFF0000"/>
    <w:embedRegular r:id="rId2" w:fontKey="{69238683-1A60-4A33-84ED-4FEE150BE80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AF3A78F-740A-4485-B78E-BC568BE58DE5}"/>
  </w:font>
  <w:font w:name="Symbol">
    <w:panose1 w:val="05050102010706020507"/>
    <w:charset w:val="02"/>
    <w:family w:val="roman"/>
    <w:pitch w:val="default"/>
    <w:sig w:usb0="00000000" w:usb1="00000000" w:usb2="00000000" w:usb3="00000000" w:csb0="80000000" w:csb1="00000000"/>
    <w:embedRegular r:id="rId4" w:fontKey="{98782B3E-1ADC-4212-AFE8-7F0953110587}"/>
  </w:font>
  <w:font w:name="Calibri">
    <w:panose1 w:val="020F0502020204030204"/>
    <w:charset w:val="00"/>
    <w:family w:val="swiss"/>
    <w:pitch w:val="default"/>
    <w:sig w:usb0="E00002FF" w:usb1="4000ACFF" w:usb2="00000001" w:usb3="00000000" w:csb0="2000019F" w:csb1="00000000"/>
    <w:embedRegular r:id="rId5" w:fontKey="{DE0B51CA-9C60-444C-B05E-8C59E092D47F}"/>
  </w:font>
  <w:font w:name="Sennheiser Office">
    <w:panose1 w:val="02010504010101010104"/>
    <w:charset w:val="00"/>
    <w:family w:val="swiss"/>
    <w:pitch w:val="default"/>
    <w:sig w:usb0="A00000AF" w:usb1="500020DB" w:usb2="00000000" w:usb3="00000000" w:csb0="20000093" w:csb1="00000000"/>
    <w:embedRegular r:id="rId6" w:fontKey="{8DCC20FA-B68B-4907-97A1-B9E75F896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drawing>
        <wp:anchor distT="0" distB="0" distL="114300" distR="114300" simplePos="0" relativeHeight="251660288" behindDoc="0" locked="1" layoutInCell="1" allowOverlap="1">
          <wp:simplePos x="0" y="0"/>
          <wp:positionH relativeFrom="page">
            <wp:posOffset>900430</wp:posOffset>
          </wp:positionH>
          <wp:positionV relativeFrom="page">
            <wp:posOffset>10153015</wp:posOffset>
          </wp:positionV>
          <wp:extent cx="1026160" cy="10795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fik 45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color w:val="0095D5" w:themeColor="accent1"/>
        <w14:textFill>
          <w14:solidFill>
            <w14:schemeClr w14:val="accent1"/>
          </w14:solidFill>
        </w14:textFill>
      </w:rPr>
    </w:pPr>
    <w:r>
      <w:rPr>
        <w:rFonts w:hint="eastAsia"/>
        <w:color w:val="0095D5" w:themeColor="accent1"/>
        <w14:textFill>
          <w14:solidFill>
            <w14:schemeClr w14:val="accent1"/>
          </w14:solidFill>
        </w14:textFill>
      </w:rPr>
      <w:t>新闻稿</w:t>
    </w:r>
    <w:r>
      <w:rPr>
        <w:rFonts w:hint="eastAsia"/>
      </w:rPr>
      <w:drawing>
        <wp:anchor distT="0" distB="0" distL="114300" distR="114300" simplePos="0" relativeHeight="251661312"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Grafik 45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pPr>
      <w:pStyle w:val="7"/>
    </w:pPr>
    <w:r>
      <w:fldChar w:fldCharType="begin"/>
    </w:r>
    <w:r>
      <w:instrText xml:space="preserve"> PAGE  \* Arabic  \* MERGEFORMAT </w:instrText>
    </w:r>
    <w:r>
      <w:fldChar w:fldCharType="separate"/>
    </w:r>
    <w:r>
      <w:t>2</w:t>
    </w:r>
    <w:r>
      <w:fldChar w:fldCharType="end"/>
    </w:r>
    <w:r>
      <w:rPr>
        <w:rFonts w:hint="eastAsia"/>
      </w:rPr>
      <w:t>/</w:t>
    </w:r>
    <w:r>
      <w:fldChar w:fldCharType="begin"/>
    </w:r>
    <w:r>
      <w:instrText xml:space="preserve"> NUMPAGES  \* Arabic  \* MERGEFORMAT </w:instrText>
    </w:r>
    <w:r>
      <w:fldChar w:fldCharType="separate"/>
    </w:r>
    <w: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color w:val="0095D5" w:themeColor="accent1"/>
        <w14:textFill>
          <w14:solidFill>
            <w14:schemeClr w14:val="accent1"/>
          </w14:solidFill>
        </w14:textFill>
      </w:rPr>
    </w:pPr>
    <w:r>
      <w:rPr>
        <w:rFonts w:hint="eastAsia"/>
        <w:color w:val="0095D5" w:themeColor="accent1"/>
        <w14:textFill>
          <w14:solidFill>
            <w14:schemeClr w14:val="accent1"/>
          </w14:solidFill>
        </w14:textFill>
      </w:rPr>
      <w:t>新闻稿</w:t>
    </w:r>
    <w:r>
      <w:rPr>
        <w:rFonts w:hint="eastAsia"/>
      </w:rPr>
      <w:drawing>
        <wp:anchor distT="0" distB="0" distL="114300" distR="114300" simplePos="0" relativeHeight="251659264"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fik 45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pPr>
      <w:pStyle w:val="7"/>
    </w:pPr>
    <w:r>
      <w:fldChar w:fldCharType="begin"/>
    </w:r>
    <w:r>
      <w:instrText xml:space="preserve"> PAGE  \* Arabic  \* MERGEFORMAT </w:instrText>
    </w:r>
    <w:r>
      <w:fldChar w:fldCharType="separate"/>
    </w:r>
    <w:r>
      <w:t>1</w:t>
    </w:r>
    <w:r>
      <w:fldChar w:fldCharType="end"/>
    </w:r>
    <w:r>
      <w:rPr>
        <w:rFonts w:hint="eastAsia"/>
      </w:rPr>
      <w:t>/</w:t>
    </w:r>
    <w:r>
      <w:fldChar w:fldCharType="begin"/>
    </w:r>
    <w:r>
      <w:instrText xml:space="preserve"> NUMPAGES  \* Arabic  \* MERGEFORMAT </w:instrText>
    </w:r>
    <w:r>
      <w:fldChar w:fldCharType="separate"/>
    </w:r>
    <w: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708"/>
  <w:hyphenationZone w:val="425"/>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hOGE2ZjQzZTQ3YTAzZDg3ZDA1MWVjM2E3NTM5MmUifQ=="/>
  </w:docVars>
  <w:rsids>
    <w:rsidRoot w:val="00CA1EB9"/>
    <w:rsid w:val="00001B34"/>
    <w:rsid w:val="00002635"/>
    <w:rsid w:val="0000568F"/>
    <w:rsid w:val="00010F36"/>
    <w:rsid w:val="00017B57"/>
    <w:rsid w:val="000222C8"/>
    <w:rsid w:val="000325E2"/>
    <w:rsid w:val="00032DC5"/>
    <w:rsid w:val="00041CEE"/>
    <w:rsid w:val="000421A6"/>
    <w:rsid w:val="00043709"/>
    <w:rsid w:val="00047DC9"/>
    <w:rsid w:val="00062361"/>
    <w:rsid w:val="00063D89"/>
    <w:rsid w:val="00067B51"/>
    <w:rsid w:val="00067D1D"/>
    <w:rsid w:val="00076FE4"/>
    <w:rsid w:val="00084679"/>
    <w:rsid w:val="0008693C"/>
    <w:rsid w:val="00086D5F"/>
    <w:rsid w:val="00092F6B"/>
    <w:rsid w:val="00092FB6"/>
    <w:rsid w:val="0009386D"/>
    <w:rsid w:val="000949E4"/>
    <w:rsid w:val="00094BE2"/>
    <w:rsid w:val="00096BB6"/>
    <w:rsid w:val="00097D68"/>
    <w:rsid w:val="000A0370"/>
    <w:rsid w:val="000A6EB0"/>
    <w:rsid w:val="000C16E9"/>
    <w:rsid w:val="000C798B"/>
    <w:rsid w:val="000D2246"/>
    <w:rsid w:val="000D5FAD"/>
    <w:rsid w:val="000D706A"/>
    <w:rsid w:val="000E3468"/>
    <w:rsid w:val="000E58D8"/>
    <w:rsid w:val="000E64D3"/>
    <w:rsid w:val="000E6C20"/>
    <w:rsid w:val="000E7C44"/>
    <w:rsid w:val="000F4C0F"/>
    <w:rsid w:val="000F6BFC"/>
    <w:rsid w:val="00100B2C"/>
    <w:rsid w:val="00101F12"/>
    <w:rsid w:val="00110254"/>
    <w:rsid w:val="0011040E"/>
    <w:rsid w:val="00110819"/>
    <w:rsid w:val="00110984"/>
    <w:rsid w:val="00117C4D"/>
    <w:rsid w:val="00121501"/>
    <w:rsid w:val="0012166F"/>
    <w:rsid w:val="0012206F"/>
    <w:rsid w:val="001239CF"/>
    <w:rsid w:val="001255AE"/>
    <w:rsid w:val="00125B15"/>
    <w:rsid w:val="00127453"/>
    <w:rsid w:val="00127C67"/>
    <w:rsid w:val="00130D41"/>
    <w:rsid w:val="00132764"/>
    <w:rsid w:val="00137C23"/>
    <w:rsid w:val="0014006E"/>
    <w:rsid w:val="00143B6D"/>
    <w:rsid w:val="0014570A"/>
    <w:rsid w:val="00145E10"/>
    <w:rsid w:val="00146B18"/>
    <w:rsid w:val="001542A6"/>
    <w:rsid w:val="0015439A"/>
    <w:rsid w:val="0016096E"/>
    <w:rsid w:val="00163FF6"/>
    <w:rsid w:val="0016680C"/>
    <w:rsid w:val="00172C83"/>
    <w:rsid w:val="00184B88"/>
    <w:rsid w:val="00191B97"/>
    <w:rsid w:val="00194681"/>
    <w:rsid w:val="00197353"/>
    <w:rsid w:val="001A2EA8"/>
    <w:rsid w:val="001A4998"/>
    <w:rsid w:val="001A512D"/>
    <w:rsid w:val="001A5687"/>
    <w:rsid w:val="001A5DD0"/>
    <w:rsid w:val="001A7D58"/>
    <w:rsid w:val="001B19C5"/>
    <w:rsid w:val="001B46A8"/>
    <w:rsid w:val="001C63D8"/>
    <w:rsid w:val="001D4E25"/>
    <w:rsid w:val="001D5899"/>
    <w:rsid w:val="001E0243"/>
    <w:rsid w:val="001E31BA"/>
    <w:rsid w:val="001E3419"/>
    <w:rsid w:val="001F3001"/>
    <w:rsid w:val="00201EB1"/>
    <w:rsid w:val="00202532"/>
    <w:rsid w:val="002057CE"/>
    <w:rsid w:val="00210B9C"/>
    <w:rsid w:val="00216DEA"/>
    <w:rsid w:val="00217A7A"/>
    <w:rsid w:val="002263C8"/>
    <w:rsid w:val="002268D1"/>
    <w:rsid w:val="0022703E"/>
    <w:rsid w:val="00227E2F"/>
    <w:rsid w:val="002303FC"/>
    <w:rsid w:val="00236405"/>
    <w:rsid w:val="00241822"/>
    <w:rsid w:val="002434A5"/>
    <w:rsid w:val="00246A64"/>
    <w:rsid w:val="00246E54"/>
    <w:rsid w:val="0026337A"/>
    <w:rsid w:val="00267767"/>
    <w:rsid w:val="00267A22"/>
    <w:rsid w:val="00274CE4"/>
    <w:rsid w:val="00282A8D"/>
    <w:rsid w:val="00282DB8"/>
    <w:rsid w:val="00285106"/>
    <w:rsid w:val="00290BD7"/>
    <w:rsid w:val="002937E2"/>
    <w:rsid w:val="00294A19"/>
    <w:rsid w:val="00294F36"/>
    <w:rsid w:val="002968B6"/>
    <w:rsid w:val="002A7789"/>
    <w:rsid w:val="002B6765"/>
    <w:rsid w:val="002B6796"/>
    <w:rsid w:val="002C0BB1"/>
    <w:rsid w:val="002C22A2"/>
    <w:rsid w:val="002C2B20"/>
    <w:rsid w:val="002C31FC"/>
    <w:rsid w:val="002C5B68"/>
    <w:rsid w:val="002C6F4D"/>
    <w:rsid w:val="002D3497"/>
    <w:rsid w:val="002D4A3F"/>
    <w:rsid w:val="002D7494"/>
    <w:rsid w:val="002D78E6"/>
    <w:rsid w:val="002E646A"/>
    <w:rsid w:val="002F5989"/>
    <w:rsid w:val="003043C3"/>
    <w:rsid w:val="003066B8"/>
    <w:rsid w:val="00310F5A"/>
    <w:rsid w:val="00311C6F"/>
    <w:rsid w:val="00317AED"/>
    <w:rsid w:val="00326FB8"/>
    <w:rsid w:val="00331DA4"/>
    <w:rsid w:val="0033671A"/>
    <w:rsid w:val="0034184A"/>
    <w:rsid w:val="003435FF"/>
    <w:rsid w:val="00344DA5"/>
    <w:rsid w:val="00346482"/>
    <w:rsid w:val="003505C8"/>
    <w:rsid w:val="0035267A"/>
    <w:rsid w:val="0035309A"/>
    <w:rsid w:val="00355E97"/>
    <w:rsid w:val="003571CF"/>
    <w:rsid w:val="0036049F"/>
    <w:rsid w:val="0037101C"/>
    <w:rsid w:val="00371697"/>
    <w:rsid w:val="0037303E"/>
    <w:rsid w:val="00375ACD"/>
    <w:rsid w:val="003765A9"/>
    <w:rsid w:val="00381619"/>
    <w:rsid w:val="003A2DBD"/>
    <w:rsid w:val="003A620A"/>
    <w:rsid w:val="003B0429"/>
    <w:rsid w:val="003B155C"/>
    <w:rsid w:val="003B77CA"/>
    <w:rsid w:val="003C4390"/>
    <w:rsid w:val="003C76D7"/>
    <w:rsid w:val="003D06A1"/>
    <w:rsid w:val="003D43E8"/>
    <w:rsid w:val="003D509D"/>
    <w:rsid w:val="003D5240"/>
    <w:rsid w:val="003E390A"/>
    <w:rsid w:val="003E3C74"/>
    <w:rsid w:val="003E5396"/>
    <w:rsid w:val="003F06D9"/>
    <w:rsid w:val="003F4D2E"/>
    <w:rsid w:val="003F7B23"/>
    <w:rsid w:val="00400962"/>
    <w:rsid w:val="00400BD5"/>
    <w:rsid w:val="00406D4D"/>
    <w:rsid w:val="004163E8"/>
    <w:rsid w:val="00416730"/>
    <w:rsid w:val="004178AA"/>
    <w:rsid w:val="00417EE2"/>
    <w:rsid w:val="0042192B"/>
    <w:rsid w:val="00421FFE"/>
    <w:rsid w:val="00427978"/>
    <w:rsid w:val="00437237"/>
    <w:rsid w:val="00440580"/>
    <w:rsid w:val="00440810"/>
    <w:rsid w:val="00440A29"/>
    <w:rsid w:val="00440DCD"/>
    <w:rsid w:val="00446AD2"/>
    <w:rsid w:val="00447547"/>
    <w:rsid w:val="004504C0"/>
    <w:rsid w:val="00450843"/>
    <w:rsid w:val="00453B3E"/>
    <w:rsid w:val="00460899"/>
    <w:rsid w:val="00464718"/>
    <w:rsid w:val="004666D1"/>
    <w:rsid w:val="00472DF9"/>
    <w:rsid w:val="00475D5B"/>
    <w:rsid w:val="00481774"/>
    <w:rsid w:val="00491470"/>
    <w:rsid w:val="00491695"/>
    <w:rsid w:val="00493C15"/>
    <w:rsid w:val="004942B1"/>
    <w:rsid w:val="004A4257"/>
    <w:rsid w:val="004A5BC8"/>
    <w:rsid w:val="004B1D4B"/>
    <w:rsid w:val="004B2C1D"/>
    <w:rsid w:val="004B3ACC"/>
    <w:rsid w:val="004C1984"/>
    <w:rsid w:val="004C4F6C"/>
    <w:rsid w:val="004D2E65"/>
    <w:rsid w:val="004D3307"/>
    <w:rsid w:val="004D631D"/>
    <w:rsid w:val="004E458B"/>
    <w:rsid w:val="004E46DC"/>
    <w:rsid w:val="004F487A"/>
    <w:rsid w:val="004F7B2D"/>
    <w:rsid w:val="00502265"/>
    <w:rsid w:val="00503386"/>
    <w:rsid w:val="005068DC"/>
    <w:rsid w:val="00512830"/>
    <w:rsid w:val="0051300D"/>
    <w:rsid w:val="005153A0"/>
    <w:rsid w:val="00515B83"/>
    <w:rsid w:val="00530AC0"/>
    <w:rsid w:val="005310F1"/>
    <w:rsid w:val="00531714"/>
    <w:rsid w:val="005327DB"/>
    <w:rsid w:val="00534E02"/>
    <w:rsid w:val="00535497"/>
    <w:rsid w:val="0053709D"/>
    <w:rsid w:val="00541BF8"/>
    <w:rsid w:val="005645AC"/>
    <w:rsid w:val="00572E4C"/>
    <w:rsid w:val="00574C92"/>
    <w:rsid w:val="00576059"/>
    <w:rsid w:val="00577787"/>
    <w:rsid w:val="00581A75"/>
    <w:rsid w:val="005921C0"/>
    <w:rsid w:val="005974B3"/>
    <w:rsid w:val="005A11E2"/>
    <w:rsid w:val="005A24D9"/>
    <w:rsid w:val="005A2BC9"/>
    <w:rsid w:val="005A366D"/>
    <w:rsid w:val="005A4733"/>
    <w:rsid w:val="005B1194"/>
    <w:rsid w:val="005B5FE1"/>
    <w:rsid w:val="005C1F67"/>
    <w:rsid w:val="005C443E"/>
    <w:rsid w:val="005C488F"/>
    <w:rsid w:val="005D07DC"/>
    <w:rsid w:val="005D3B31"/>
    <w:rsid w:val="005D571F"/>
    <w:rsid w:val="005D6C5A"/>
    <w:rsid w:val="005E222F"/>
    <w:rsid w:val="005E2C50"/>
    <w:rsid w:val="005F0B1B"/>
    <w:rsid w:val="005F12BB"/>
    <w:rsid w:val="005F3E35"/>
    <w:rsid w:val="006006F3"/>
    <w:rsid w:val="00600DDC"/>
    <w:rsid w:val="0060142B"/>
    <w:rsid w:val="00601436"/>
    <w:rsid w:val="00601631"/>
    <w:rsid w:val="00602097"/>
    <w:rsid w:val="00603221"/>
    <w:rsid w:val="006067D1"/>
    <w:rsid w:val="006108B6"/>
    <w:rsid w:val="0061793D"/>
    <w:rsid w:val="00621A10"/>
    <w:rsid w:val="006223D1"/>
    <w:rsid w:val="006241A7"/>
    <w:rsid w:val="006318AA"/>
    <w:rsid w:val="006326EB"/>
    <w:rsid w:val="006327D5"/>
    <w:rsid w:val="00635D7E"/>
    <w:rsid w:val="00642F6C"/>
    <w:rsid w:val="00643EF9"/>
    <w:rsid w:val="00646389"/>
    <w:rsid w:val="00647134"/>
    <w:rsid w:val="00652DA0"/>
    <w:rsid w:val="00653C63"/>
    <w:rsid w:val="0065420F"/>
    <w:rsid w:val="006547C4"/>
    <w:rsid w:val="0066143F"/>
    <w:rsid w:val="00666AAF"/>
    <w:rsid w:val="00672A9F"/>
    <w:rsid w:val="00680E57"/>
    <w:rsid w:val="00686C36"/>
    <w:rsid w:val="00686C6D"/>
    <w:rsid w:val="006919FC"/>
    <w:rsid w:val="006932AE"/>
    <w:rsid w:val="006940FF"/>
    <w:rsid w:val="0069691B"/>
    <w:rsid w:val="006A16F5"/>
    <w:rsid w:val="006A2788"/>
    <w:rsid w:val="006A5078"/>
    <w:rsid w:val="006A69BC"/>
    <w:rsid w:val="006B216B"/>
    <w:rsid w:val="006B5448"/>
    <w:rsid w:val="006B555F"/>
    <w:rsid w:val="006B5762"/>
    <w:rsid w:val="006B5F4F"/>
    <w:rsid w:val="006C10BA"/>
    <w:rsid w:val="006C53DB"/>
    <w:rsid w:val="006D4024"/>
    <w:rsid w:val="006D5887"/>
    <w:rsid w:val="006E2F3C"/>
    <w:rsid w:val="006E3BF6"/>
    <w:rsid w:val="006E740D"/>
    <w:rsid w:val="006E75FA"/>
    <w:rsid w:val="006F058F"/>
    <w:rsid w:val="00703D00"/>
    <w:rsid w:val="00710D4E"/>
    <w:rsid w:val="00715C90"/>
    <w:rsid w:val="007237E9"/>
    <w:rsid w:val="0072387E"/>
    <w:rsid w:val="0072390D"/>
    <w:rsid w:val="00725073"/>
    <w:rsid w:val="00732897"/>
    <w:rsid w:val="00732D87"/>
    <w:rsid w:val="007345C9"/>
    <w:rsid w:val="00736FA4"/>
    <w:rsid w:val="00743145"/>
    <w:rsid w:val="00751102"/>
    <w:rsid w:val="00757E22"/>
    <w:rsid w:val="00763868"/>
    <w:rsid w:val="00763C0B"/>
    <w:rsid w:val="007658C4"/>
    <w:rsid w:val="00766E21"/>
    <w:rsid w:val="007702C5"/>
    <w:rsid w:val="00776007"/>
    <w:rsid w:val="0077636F"/>
    <w:rsid w:val="00781CAC"/>
    <w:rsid w:val="00784C26"/>
    <w:rsid w:val="0078591F"/>
    <w:rsid w:val="00785C71"/>
    <w:rsid w:val="007A2F7E"/>
    <w:rsid w:val="007A433D"/>
    <w:rsid w:val="007A6121"/>
    <w:rsid w:val="007B51CA"/>
    <w:rsid w:val="007C0C64"/>
    <w:rsid w:val="007C4F79"/>
    <w:rsid w:val="007C74AE"/>
    <w:rsid w:val="007C7B82"/>
    <w:rsid w:val="007D133E"/>
    <w:rsid w:val="007D7B2F"/>
    <w:rsid w:val="007E0157"/>
    <w:rsid w:val="007E5EEC"/>
    <w:rsid w:val="007F4965"/>
    <w:rsid w:val="007F75E8"/>
    <w:rsid w:val="00800EC9"/>
    <w:rsid w:val="008033D3"/>
    <w:rsid w:val="00805F2E"/>
    <w:rsid w:val="00806069"/>
    <w:rsid w:val="00810C21"/>
    <w:rsid w:val="00815B5B"/>
    <w:rsid w:val="00817DCC"/>
    <w:rsid w:val="0082794E"/>
    <w:rsid w:val="0083169E"/>
    <w:rsid w:val="00832BE2"/>
    <w:rsid w:val="008375C0"/>
    <w:rsid w:val="008471BF"/>
    <w:rsid w:val="008513F2"/>
    <w:rsid w:val="0085239D"/>
    <w:rsid w:val="008559CB"/>
    <w:rsid w:val="00856110"/>
    <w:rsid w:val="00860D90"/>
    <w:rsid w:val="0086469A"/>
    <w:rsid w:val="00866FE6"/>
    <w:rsid w:val="00871D9C"/>
    <w:rsid w:val="00873875"/>
    <w:rsid w:val="008859CB"/>
    <w:rsid w:val="00887CD6"/>
    <w:rsid w:val="00893940"/>
    <w:rsid w:val="008A2568"/>
    <w:rsid w:val="008A3983"/>
    <w:rsid w:val="008A39E5"/>
    <w:rsid w:val="008A5A92"/>
    <w:rsid w:val="008B3150"/>
    <w:rsid w:val="008C3ADE"/>
    <w:rsid w:val="008D3442"/>
    <w:rsid w:val="008D6CAB"/>
    <w:rsid w:val="008D6F0A"/>
    <w:rsid w:val="008E16FD"/>
    <w:rsid w:val="008E26BA"/>
    <w:rsid w:val="008E5D5C"/>
    <w:rsid w:val="008F21C4"/>
    <w:rsid w:val="008F2FB8"/>
    <w:rsid w:val="008F3EEE"/>
    <w:rsid w:val="008F5B13"/>
    <w:rsid w:val="00900D0C"/>
    <w:rsid w:val="00901029"/>
    <w:rsid w:val="009016C8"/>
    <w:rsid w:val="0090592D"/>
    <w:rsid w:val="00921313"/>
    <w:rsid w:val="009302B0"/>
    <w:rsid w:val="009320A9"/>
    <w:rsid w:val="009449A9"/>
    <w:rsid w:val="00945E1D"/>
    <w:rsid w:val="00946BCE"/>
    <w:rsid w:val="00954AB8"/>
    <w:rsid w:val="00957401"/>
    <w:rsid w:val="0096404E"/>
    <w:rsid w:val="009651D9"/>
    <w:rsid w:val="00972B7A"/>
    <w:rsid w:val="00973F1F"/>
    <w:rsid w:val="0097613E"/>
    <w:rsid w:val="00977493"/>
    <w:rsid w:val="009813C5"/>
    <w:rsid w:val="0099275C"/>
    <w:rsid w:val="009932E2"/>
    <w:rsid w:val="0099522F"/>
    <w:rsid w:val="009962AE"/>
    <w:rsid w:val="009C2C13"/>
    <w:rsid w:val="009C3A18"/>
    <w:rsid w:val="009C45A2"/>
    <w:rsid w:val="009C4EE6"/>
    <w:rsid w:val="009D3803"/>
    <w:rsid w:val="009D6AD5"/>
    <w:rsid w:val="009E21D4"/>
    <w:rsid w:val="009E5627"/>
    <w:rsid w:val="009E6E6C"/>
    <w:rsid w:val="009E6FD8"/>
    <w:rsid w:val="009F0F76"/>
    <w:rsid w:val="009F5B8A"/>
    <w:rsid w:val="009F5F3C"/>
    <w:rsid w:val="00A01949"/>
    <w:rsid w:val="00A04036"/>
    <w:rsid w:val="00A138F4"/>
    <w:rsid w:val="00A17004"/>
    <w:rsid w:val="00A1770C"/>
    <w:rsid w:val="00A23439"/>
    <w:rsid w:val="00A23CCC"/>
    <w:rsid w:val="00A24F97"/>
    <w:rsid w:val="00A2632B"/>
    <w:rsid w:val="00A27B1A"/>
    <w:rsid w:val="00A34ABD"/>
    <w:rsid w:val="00A34DEF"/>
    <w:rsid w:val="00A35A93"/>
    <w:rsid w:val="00A36875"/>
    <w:rsid w:val="00A4301C"/>
    <w:rsid w:val="00A504A0"/>
    <w:rsid w:val="00A612A1"/>
    <w:rsid w:val="00A613A9"/>
    <w:rsid w:val="00A65B81"/>
    <w:rsid w:val="00A70250"/>
    <w:rsid w:val="00A85998"/>
    <w:rsid w:val="00A863E1"/>
    <w:rsid w:val="00A87609"/>
    <w:rsid w:val="00A94459"/>
    <w:rsid w:val="00A97AA2"/>
    <w:rsid w:val="00AA1B6D"/>
    <w:rsid w:val="00AA33B4"/>
    <w:rsid w:val="00AB0C5A"/>
    <w:rsid w:val="00AB28C2"/>
    <w:rsid w:val="00AB48ED"/>
    <w:rsid w:val="00AB5767"/>
    <w:rsid w:val="00AC4438"/>
    <w:rsid w:val="00AC4E77"/>
    <w:rsid w:val="00AC7AC9"/>
    <w:rsid w:val="00AD28D7"/>
    <w:rsid w:val="00AD75E0"/>
    <w:rsid w:val="00AD7961"/>
    <w:rsid w:val="00AD7F8D"/>
    <w:rsid w:val="00AE0EF3"/>
    <w:rsid w:val="00AE2057"/>
    <w:rsid w:val="00AE4309"/>
    <w:rsid w:val="00AE5931"/>
    <w:rsid w:val="00AE5CFD"/>
    <w:rsid w:val="00AE6527"/>
    <w:rsid w:val="00AF618C"/>
    <w:rsid w:val="00B03118"/>
    <w:rsid w:val="00B048C2"/>
    <w:rsid w:val="00B06801"/>
    <w:rsid w:val="00B142BE"/>
    <w:rsid w:val="00B1621A"/>
    <w:rsid w:val="00B20930"/>
    <w:rsid w:val="00B20E88"/>
    <w:rsid w:val="00B236F6"/>
    <w:rsid w:val="00B3051F"/>
    <w:rsid w:val="00B4180F"/>
    <w:rsid w:val="00B476AD"/>
    <w:rsid w:val="00B65D37"/>
    <w:rsid w:val="00B662B7"/>
    <w:rsid w:val="00B75667"/>
    <w:rsid w:val="00B839A6"/>
    <w:rsid w:val="00B84545"/>
    <w:rsid w:val="00B87340"/>
    <w:rsid w:val="00BA1B58"/>
    <w:rsid w:val="00BA4970"/>
    <w:rsid w:val="00BA4FE6"/>
    <w:rsid w:val="00BB54B9"/>
    <w:rsid w:val="00BB5E6E"/>
    <w:rsid w:val="00BC1CAB"/>
    <w:rsid w:val="00BC2476"/>
    <w:rsid w:val="00BC45C7"/>
    <w:rsid w:val="00BD203C"/>
    <w:rsid w:val="00BD2B42"/>
    <w:rsid w:val="00BE18DE"/>
    <w:rsid w:val="00BE37CD"/>
    <w:rsid w:val="00BE54CE"/>
    <w:rsid w:val="00BF2929"/>
    <w:rsid w:val="00BF326A"/>
    <w:rsid w:val="00BF5FDD"/>
    <w:rsid w:val="00C124BF"/>
    <w:rsid w:val="00C1251F"/>
    <w:rsid w:val="00C24DAB"/>
    <w:rsid w:val="00C26C96"/>
    <w:rsid w:val="00C304FF"/>
    <w:rsid w:val="00C316B8"/>
    <w:rsid w:val="00C40FD6"/>
    <w:rsid w:val="00C471B7"/>
    <w:rsid w:val="00C47E2F"/>
    <w:rsid w:val="00C57B7F"/>
    <w:rsid w:val="00C601E1"/>
    <w:rsid w:val="00C63EA1"/>
    <w:rsid w:val="00C64D63"/>
    <w:rsid w:val="00C670C7"/>
    <w:rsid w:val="00C7652F"/>
    <w:rsid w:val="00C768C1"/>
    <w:rsid w:val="00C77B2E"/>
    <w:rsid w:val="00C808F6"/>
    <w:rsid w:val="00C8099E"/>
    <w:rsid w:val="00C822ED"/>
    <w:rsid w:val="00C859FE"/>
    <w:rsid w:val="00C876CC"/>
    <w:rsid w:val="00C91960"/>
    <w:rsid w:val="00C91ACD"/>
    <w:rsid w:val="00C937B2"/>
    <w:rsid w:val="00C93F27"/>
    <w:rsid w:val="00CA03F3"/>
    <w:rsid w:val="00CA1EB9"/>
    <w:rsid w:val="00CA343E"/>
    <w:rsid w:val="00CA58D5"/>
    <w:rsid w:val="00CA68CA"/>
    <w:rsid w:val="00CA6A78"/>
    <w:rsid w:val="00CB1593"/>
    <w:rsid w:val="00CB30FF"/>
    <w:rsid w:val="00CB608C"/>
    <w:rsid w:val="00CC06C6"/>
    <w:rsid w:val="00CC3302"/>
    <w:rsid w:val="00CD2130"/>
    <w:rsid w:val="00CD2F05"/>
    <w:rsid w:val="00CD31B6"/>
    <w:rsid w:val="00CD4951"/>
    <w:rsid w:val="00CD5497"/>
    <w:rsid w:val="00CD78B5"/>
    <w:rsid w:val="00CE080C"/>
    <w:rsid w:val="00CE6F72"/>
    <w:rsid w:val="00CE7C6E"/>
    <w:rsid w:val="00CF0DE6"/>
    <w:rsid w:val="00CF76CD"/>
    <w:rsid w:val="00D20C8F"/>
    <w:rsid w:val="00D218A8"/>
    <w:rsid w:val="00D2229A"/>
    <w:rsid w:val="00D22EA6"/>
    <w:rsid w:val="00D24D81"/>
    <w:rsid w:val="00D305D6"/>
    <w:rsid w:val="00D35B82"/>
    <w:rsid w:val="00D36456"/>
    <w:rsid w:val="00D40DE0"/>
    <w:rsid w:val="00D42813"/>
    <w:rsid w:val="00D451B5"/>
    <w:rsid w:val="00D51EE2"/>
    <w:rsid w:val="00D5275F"/>
    <w:rsid w:val="00D55833"/>
    <w:rsid w:val="00D61A7D"/>
    <w:rsid w:val="00D644ED"/>
    <w:rsid w:val="00D674EA"/>
    <w:rsid w:val="00D71980"/>
    <w:rsid w:val="00D72AEF"/>
    <w:rsid w:val="00D73991"/>
    <w:rsid w:val="00D74F8C"/>
    <w:rsid w:val="00D74FDB"/>
    <w:rsid w:val="00D77347"/>
    <w:rsid w:val="00D84948"/>
    <w:rsid w:val="00D85367"/>
    <w:rsid w:val="00D87AF3"/>
    <w:rsid w:val="00D92BEF"/>
    <w:rsid w:val="00D94E4B"/>
    <w:rsid w:val="00DA2471"/>
    <w:rsid w:val="00DA5EDC"/>
    <w:rsid w:val="00DA7E0C"/>
    <w:rsid w:val="00DB4F8E"/>
    <w:rsid w:val="00DB7B3F"/>
    <w:rsid w:val="00DC361A"/>
    <w:rsid w:val="00DC58FA"/>
    <w:rsid w:val="00DC5D65"/>
    <w:rsid w:val="00DC69CF"/>
    <w:rsid w:val="00DC7ECA"/>
    <w:rsid w:val="00DD1163"/>
    <w:rsid w:val="00DD3213"/>
    <w:rsid w:val="00DE0805"/>
    <w:rsid w:val="00DE4467"/>
    <w:rsid w:val="00DE4F26"/>
    <w:rsid w:val="00DF2CE3"/>
    <w:rsid w:val="00DF50B1"/>
    <w:rsid w:val="00DF73C8"/>
    <w:rsid w:val="00DF7B7B"/>
    <w:rsid w:val="00E0176B"/>
    <w:rsid w:val="00E13E66"/>
    <w:rsid w:val="00E21860"/>
    <w:rsid w:val="00E233E0"/>
    <w:rsid w:val="00E23B1C"/>
    <w:rsid w:val="00E27F5C"/>
    <w:rsid w:val="00E415F8"/>
    <w:rsid w:val="00E42C92"/>
    <w:rsid w:val="00E44DDE"/>
    <w:rsid w:val="00E4567D"/>
    <w:rsid w:val="00E47967"/>
    <w:rsid w:val="00E718A4"/>
    <w:rsid w:val="00E84FC3"/>
    <w:rsid w:val="00E86DFD"/>
    <w:rsid w:val="00E976B6"/>
    <w:rsid w:val="00E97BB4"/>
    <w:rsid w:val="00EA2430"/>
    <w:rsid w:val="00EB2ED3"/>
    <w:rsid w:val="00EB6084"/>
    <w:rsid w:val="00EB62F0"/>
    <w:rsid w:val="00EC576E"/>
    <w:rsid w:val="00EE14FF"/>
    <w:rsid w:val="00EF369A"/>
    <w:rsid w:val="00EF3C36"/>
    <w:rsid w:val="00EF7336"/>
    <w:rsid w:val="00EF73E3"/>
    <w:rsid w:val="00F00A75"/>
    <w:rsid w:val="00F00BF4"/>
    <w:rsid w:val="00F014F9"/>
    <w:rsid w:val="00F05088"/>
    <w:rsid w:val="00F05BFC"/>
    <w:rsid w:val="00F0715F"/>
    <w:rsid w:val="00F07856"/>
    <w:rsid w:val="00F10A0F"/>
    <w:rsid w:val="00F15F7F"/>
    <w:rsid w:val="00F16CEF"/>
    <w:rsid w:val="00F23548"/>
    <w:rsid w:val="00F301F5"/>
    <w:rsid w:val="00F30D80"/>
    <w:rsid w:val="00F319F9"/>
    <w:rsid w:val="00F33FFE"/>
    <w:rsid w:val="00F34E0A"/>
    <w:rsid w:val="00F45AA6"/>
    <w:rsid w:val="00F45F5C"/>
    <w:rsid w:val="00F466CC"/>
    <w:rsid w:val="00F578E3"/>
    <w:rsid w:val="00F60579"/>
    <w:rsid w:val="00F613F2"/>
    <w:rsid w:val="00F634DA"/>
    <w:rsid w:val="00F70180"/>
    <w:rsid w:val="00F75220"/>
    <w:rsid w:val="00F75316"/>
    <w:rsid w:val="00F77454"/>
    <w:rsid w:val="00F8561C"/>
    <w:rsid w:val="00F92E72"/>
    <w:rsid w:val="00F94B3C"/>
    <w:rsid w:val="00F95311"/>
    <w:rsid w:val="00F962FF"/>
    <w:rsid w:val="00FA0C37"/>
    <w:rsid w:val="00FA18CE"/>
    <w:rsid w:val="00FA7393"/>
    <w:rsid w:val="00FA7699"/>
    <w:rsid w:val="00FB39FE"/>
    <w:rsid w:val="00FB57B0"/>
    <w:rsid w:val="00FC3964"/>
    <w:rsid w:val="00FC550A"/>
    <w:rsid w:val="00FD357F"/>
    <w:rsid w:val="00FD444B"/>
    <w:rsid w:val="00FD69BF"/>
    <w:rsid w:val="00FD754E"/>
    <w:rsid w:val="00FE2814"/>
    <w:rsid w:val="00FE551F"/>
    <w:rsid w:val="00FE6300"/>
    <w:rsid w:val="00FF656D"/>
    <w:rsid w:val="152B0FA2"/>
    <w:rsid w:val="412324AF"/>
    <w:rsid w:val="423E3AB9"/>
    <w:rsid w:val="50F068B8"/>
    <w:rsid w:val="7CC73CA1"/>
    <w:rsid w:val="BF59B036"/>
    <w:rsid w:val="DF9FD1B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sz w:val="18"/>
      <w:szCs w:val="22"/>
      <w:lang w:val="en-GB" w:eastAsia="zh-CN" w:bidi="ar-SA"/>
    </w:rPr>
  </w:style>
  <w:style w:type="paragraph" w:styleId="2">
    <w:name w:val="heading 1"/>
    <w:basedOn w:val="1"/>
    <w:next w:val="1"/>
    <w:link w:val="22"/>
    <w:qFormat/>
    <w:uiPriority w:val="9"/>
    <w:pPr>
      <w:outlineLvl w:val="0"/>
    </w:pPr>
    <w:rPr>
      <w:b/>
      <w:caps/>
      <w:color w:val="0095D5" w:themeColor="accent1"/>
      <w14:textFill>
        <w14:solidFill>
          <w14:schemeClr w14:val="accent1"/>
        </w14:solidFill>
      </w14:textFill>
    </w:rPr>
  </w:style>
  <w:style w:type="paragraph" w:styleId="3">
    <w:name w:val="heading 2"/>
    <w:basedOn w:val="1"/>
    <w:next w:val="1"/>
    <w:link w:val="24"/>
    <w:unhideWhenUsed/>
    <w:qFormat/>
    <w:uiPriority w:val="9"/>
    <w:pPr>
      <w:outlineLvl w:val="1"/>
    </w:pPr>
    <w:rPr>
      <w:b/>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35"/>
    <w:pPr>
      <w:spacing w:line="210" w:lineRule="atLeast"/>
    </w:pPr>
    <w:rPr>
      <w:sz w:val="15"/>
    </w:rPr>
  </w:style>
  <w:style w:type="paragraph" w:styleId="5">
    <w:name w:val="annotation text"/>
    <w:basedOn w:val="1"/>
    <w:link w:val="31"/>
    <w:unhideWhenUsed/>
    <w:qFormat/>
    <w:uiPriority w:val="99"/>
    <w:pPr>
      <w:spacing w:line="240" w:lineRule="auto"/>
    </w:pPr>
    <w:rPr>
      <w:sz w:val="20"/>
      <w:szCs w:val="20"/>
    </w:rPr>
  </w:style>
  <w:style w:type="paragraph" w:styleId="6">
    <w:name w:val="footer"/>
    <w:basedOn w:val="1"/>
    <w:link w:val="19"/>
    <w:unhideWhenUsed/>
    <w:qFormat/>
    <w:uiPriority w:val="99"/>
    <w:pPr>
      <w:spacing w:line="180" w:lineRule="atLeast"/>
    </w:pPr>
    <w:rPr>
      <w:sz w:val="12"/>
    </w:rPr>
  </w:style>
  <w:style w:type="paragraph" w:styleId="7">
    <w:name w:val="header"/>
    <w:basedOn w:val="1"/>
    <w:link w:val="18"/>
    <w:unhideWhenUsed/>
    <w:qFormat/>
    <w:uiPriority w:val="99"/>
    <w:pPr>
      <w:spacing w:line="195" w:lineRule="atLeast"/>
      <w:ind w:right="-1737"/>
      <w:jc w:val="right"/>
    </w:pPr>
    <w:rPr>
      <w:caps/>
      <w:spacing w:val="12"/>
      <w:sz w:val="15"/>
    </w:rPr>
  </w:style>
  <w:style w:type="paragraph" w:styleId="8">
    <w:name w:val="Normal (Web)"/>
    <w:basedOn w:val="1"/>
    <w:unhideWhenUsed/>
    <w:qFormat/>
    <w:uiPriority w:val="99"/>
    <w:pPr>
      <w:spacing w:before="100" w:beforeAutospacing="1" w:after="100" w:afterAutospacing="1" w:line="240" w:lineRule="auto"/>
    </w:pPr>
    <w:rPr>
      <w:rFonts w:ascii="Calibri" w:hAnsi="Calibri" w:cs="Calibri"/>
      <w:sz w:val="22"/>
      <w:lang w:val="en-US"/>
    </w:rPr>
  </w:style>
  <w:style w:type="paragraph" w:styleId="9">
    <w:name w:val="Title"/>
    <w:basedOn w:val="1"/>
    <w:next w:val="1"/>
    <w:link w:val="21"/>
    <w:qFormat/>
    <w:uiPriority w:val="10"/>
    <w:pPr>
      <w:spacing w:before="440" w:after="200"/>
      <w:contextualSpacing/>
    </w:pPr>
    <w:rPr>
      <w:sz w:val="24"/>
    </w:rPr>
  </w:style>
  <w:style w:type="paragraph" w:styleId="10">
    <w:name w:val="annotation subject"/>
    <w:basedOn w:val="5"/>
    <w:next w:val="5"/>
    <w:link w:val="32"/>
    <w:semiHidden/>
    <w:unhideWhenUsed/>
    <w:qFormat/>
    <w:uiPriority w:val="99"/>
    <w:rPr>
      <w:b/>
      <w:bCs/>
    </w:rPr>
  </w:style>
  <w:style w:type="table" w:styleId="12">
    <w:name w:val="Table Grid"/>
    <w:basedOn w:val="11"/>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FollowedHyperlink"/>
    <w:basedOn w:val="13"/>
    <w:semiHidden/>
    <w:unhideWhenUsed/>
    <w:qFormat/>
    <w:uiPriority w:val="99"/>
    <w:rPr>
      <w:color w:val="000000" w:themeColor="followedHyperlink"/>
      <w:u w:val="single"/>
      <w14:textFill>
        <w14:solidFill>
          <w14:schemeClr w14:val="folHlink"/>
        </w14:solidFill>
      </w14:textFill>
    </w:rPr>
  </w:style>
  <w:style w:type="character" w:styleId="16">
    <w:name w:val="Hyperlink"/>
    <w:basedOn w:val="13"/>
    <w:unhideWhenUsed/>
    <w:qFormat/>
    <w:uiPriority w:val="99"/>
    <w:rPr>
      <w:color w:val="000000" w:themeColor="hyperlink"/>
      <w:u w:val="single"/>
      <w14:textFill>
        <w14:solidFill>
          <w14:schemeClr w14:val="hlink"/>
        </w14:solidFill>
      </w14:textFill>
    </w:rPr>
  </w:style>
  <w:style w:type="character" w:styleId="17">
    <w:name w:val="annotation reference"/>
    <w:basedOn w:val="13"/>
    <w:semiHidden/>
    <w:unhideWhenUsed/>
    <w:qFormat/>
    <w:uiPriority w:val="99"/>
    <w:rPr>
      <w:sz w:val="16"/>
      <w:szCs w:val="16"/>
    </w:rPr>
  </w:style>
  <w:style w:type="character" w:customStyle="1" w:styleId="18">
    <w:name w:val="页眉 字符"/>
    <w:basedOn w:val="13"/>
    <w:link w:val="7"/>
    <w:qFormat/>
    <w:uiPriority w:val="99"/>
    <w:rPr>
      <w:caps/>
      <w:spacing w:val="12"/>
      <w:sz w:val="15"/>
      <w:lang w:val="en-GB"/>
    </w:rPr>
  </w:style>
  <w:style w:type="character" w:customStyle="1" w:styleId="19">
    <w:name w:val="页脚 字符"/>
    <w:basedOn w:val="13"/>
    <w:link w:val="6"/>
    <w:qFormat/>
    <w:uiPriority w:val="99"/>
    <w:rPr>
      <w:sz w:val="12"/>
      <w:lang w:val="en-GB"/>
    </w:rPr>
  </w:style>
  <w:style w:type="paragraph" w:customStyle="1" w:styleId="20">
    <w:name w:val="Info"/>
    <w:basedOn w:val="1"/>
    <w:qFormat/>
    <w:uiPriority w:val="0"/>
    <w:pPr>
      <w:spacing w:line="180" w:lineRule="atLeast"/>
    </w:pPr>
    <w:rPr>
      <w:sz w:val="12"/>
    </w:rPr>
  </w:style>
  <w:style w:type="character" w:customStyle="1" w:styleId="21">
    <w:name w:val="标题 字符"/>
    <w:basedOn w:val="13"/>
    <w:link w:val="9"/>
    <w:qFormat/>
    <w:uiPriority w:val="10"/>
    <w:rPr>
      <w:sz w:val="24"/>
      <w:lang w:val="en-GB"/>
    </w:rPr>
  </w:style>
  <w:style w:type="character" w:customStyle="1" w:styleId="22">
    <w:name w:val="标题 1 字符"/>
    <w:basedOn w:val="13"/>
    <w:link w:val="2"/>
    <w:qFormat/>
    <w:uiPriority w:val="9"/>
    <w:rPr>
      <w:b/>
      <w:caps/>
      <w:color w:val="0095D5" w:themeColor="accent1"/>
      <w:sz w:val="18"/>
      <w:lang w:val="en-GB"/>
      <w14:textFill>
        <w14:solidFill>
          <w14:schemeClr w14:val="accent1"/>
        </w14:solidFill>
      </w14:textFill>
    </w:rPr>
  </w:style>
  <w:style w:type="paragraph" w:customStyle="1" w:styleId="23">
    <w:name w:val="Marginal note"/>
    <w:basedOn w:val="1"/>
    <w:qFormat/>
    <w:uiPriority w:val="0"/>
    <w:pPr>
      <w:framePr w:w="1418" w:wrap="around" w:vAnchor="text" w:hAnchor="text" w:x="8194" w:y="41"/>
      <w:spacing w:line="195" w:lineRule="atLeast"/>
    </w:pPr>
    <w:rPr>
      <w:sz w:val="15"/>
    </w:rPr>
  </w:style>
  <w:style w:type="character" w:customStyle="1" w:styleId="24">
    <w:name w:val="标题 2 字符"/>
    <w:basedOn w:val="13"/>
    <w:link w:val="3"/>
    <w:qFormat/>
    <w:uiPriority w:val="9"/>
    <w:rPr>
      <w:b/>
      <w:sz w:val="18"/>
      <w:lang w:val="en-GB"/>
    </w:rPr>
  </w:style>
  <w:style w:type="paragraph" w:customStyle="1" w:styleId="25">
    <w:name w:val="Contact"/>
    <w:basedOn w:val="1"/>
    <w:qFormat/>
    <w:uiPriority w:val="0"/>
    <w:pPr>
      <w:tabs>
        <w:tab w:val="left" w:pos="4111"/>
      </w:tabs>
      <w:spacing w:line="210" w:lineRule="atLeast"/>
    </w:pPr>
    <w:rPr>
      <w:sz w:val="15"/>
    </w:rPr>
  </w:style>
  <w:style w:type="paragraph" w:customStyle="1" w:styleId="26">
    <w:name w:val="Embargo"/>
    <w:basedOn w:val="1"/>
    <w:qFormat/>
    <w:uiPriority w:val="0"/>
    <w:pPr>
      <w:spacing w:after="240"/>
    </w:pPr>
    <w:rPr>
      <w:b/>
      <w:color w:val="FF0A14"/>
    </w:rPr>
  </w:style>
  <w:style w:type="paragraph" w:customStyle="1" w:styleId="27">
    <w:name w:val="About"/>
    <w:basedOn w:val="1"/>
    <w:qFormat/>
    <w:uiPriority w:val="0"/>
    <w:pPr>
      <w:spacing w:line="240" w:lineRule="auto"/>
    </w:pPr>
  </w:style>
  <w:style w:type="character" w:customStyle="1" w:styleId="28">
    <w:name w:val="未处理的提及1"/>
    <w:basedOn w:val="13"/>
    <w:semiHidden/>
    <w:unhideWhenUsed/>
    <w:qFormat/>
    <w:uiPriority w:val="99"/>
    <w:rPr>
      <w:color w:val="605E5C"/>
      <w:shd w:val="clear" w:color="auto" w:fill="E1DFDD"/>
    </w:rPr>
  </w:style>
  <w:style w:type="character" w:customStyle="1" w:styleId="29">
    <w:name w:val="ui-provider"/>
    <w:basedOn w:val="13"/>
    <w:qFormat/>
    <w:uiPriority w:val="0"/>
  </w:style>
  <w:style w:type="paragraph" w:styleId="30">
    <w:name w:val="List Paragraph"/>
    <w:basedOn w:val="1"/>
    <w:qFormat/>
    <w:uiPriority w:val="34"/>
    <w:pPr>
      <w:ind w:left="720"/>
      <w:contextualSpacing/>
    </w:pPr>
  </w:style>
  <w:style w:type="character" w:customStyle="1" w:styleId="31">
    <w:name w:val="批注文字 字符"/>
    <w:basedOn w:val="13"/>
    <w:link w:val="5"/>
    <w:qFormat/>
    <w:uiPriority w:val="99"/>
    <w:rPr>
      <w:sz w:val="20"/>
      <w:szCs w:val="20"/>
      <w:lang w:val="en-GB"/>
    </w:rPr>
  </w:style>
  <w:style w:type="character" w:customStyle="1" w:styleId="32">
    <w:name w:val="批注主题 字符"/>
    <w:basedOn w:val="31"/>
    <w:link w:val="10"/>
    <w:semiHidden/>
    <w:qFormat/>
    <w:uiPriority w:val="99"/>
    <w:rPr>
      <w:b/>
      <w:bCs/>
      <w:sz w:val="20"/>
      <w:szCs w:val="20"/>
      <w:lang w:val="en-GB"/>
    </w:rPr>
  </w:style>
  <w:style w:type="paragraph" w:customStyle="1" w:styleId="33">
    <w:name w:val="修订1"/>
    <w:hidden/>
    <w:semiHidden/>
    <w:qFormat/>
    <w:uiPriority w:val="99"/>
    <w:rPr>
      <w:rFonts w:asciiTheme="minorHAnsi" w:hAnsiTheme="minorHAnsi" w:eastAsiaTheme="minorEastAsia" w:cstheme="minorBidi"/>
      <w:sz w:val="18"/>
      <w:szCs w:val="22"/>
      <w:lang w:val="en-GB" w:eastAsia="zh-CN" w:bidi="ar-SA"/>
    </w:rPr>
  </w:style>
  <w:style w:type="paragraph" w:customStyle="1" w:styleId="34">
    <w:name w:val="Revision"/>
    <w:hidden/>
    <w:unhideWhenUsed/>
    <w:qFormat/>
    <w:uiPriority w:val="99"/>
    <w:rPr>
      <w:rFonts w:asciiTheme="minorHAnsi" w:hAnsiTheme="minorHAnsi" w:eastAsiaTheme="minorEastAsia" w:cstheme="minorBidi"/>
      <w:sz w:val="18"/>
      <w:szCs w:val="22"/>
      <w:lang w:val="en-GB" w:eastAsia="zh-CN" w:bidi="ar-SA"/>
    </w:rPr>
  </w:style>
  <w:style w:type="character" w:customStyle="1" w:styleId="35">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Sennheiser electronic GmbH &amp; Co. KG</Company>
  <Pages>4</Pages>
  <Words>1176</Words>
  <Characters>1545</Characters>
  <Lines>12</Lines>
  <Paragraphs>3</Paragraphs>
  <TotalTime>104</TotalTime>
  <ScaleCrop>false</ScaleCrop>
  <LinksUpToDate>false</LinksUpToDate>
  <CharactersWithSpaces>1591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2023-12-28T07:48:00Z</dcterms:created>
  <dc:creator>Sennheiser electronic GmbH &amp; Co. KG</dc:creator>
  <cp:lastModifiedBy>Administrator</cp:lastModifiedBy>
  <cp:lastPrinted>2023-10-23T11:21:00Z</cp:lastPrinted>
  <dcterms:modified xsi:type="dcterms:W3CDTF">2023-12-29T05:34:15Z</dcterms:modified>
  <dc:title>Press Release</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y fmtid="{D5CDD505-2E9C-101B-9397-08002B2CF9AE}" pid="3" name="KSOProductBuildVer">
    <vt:lpwstr>2052-11.1.0.13703</vt:lpwstr>
  </property>
  <property fmtid="{D5CDD505-2E9C-101B-9397-08002B2CF9AE}" pid="4" name="ICV">
    <vt:lpwstr>6AFBAE1B7D954C5694BD1DE632784B82</vt:lpwstr>
  </property>
</Properties>
</file>